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6F" w:rsidRDefault="00E10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Diskuze u kulatého stolu nastínila trendy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br/>
        <w:t>v oblasti chytrých budov</w:t>
      </w: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E1066F" w:rsidRDefault="006E57A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Praha, 5. března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b/>
          <w:sz w:val="20"/>
          <w:szCs w:val="20"/>
        </w:rPr>
        <w:t xml:space="preserve"> – Kulatý stůl uspořádaný Kanceláří Evropského parlamentu ve spolupráci s Aliancí pro energetickou soběstačnost a Svazem moderní energetiky</w:t>
      </w:r>
      <w:r w:rsidR="00985281">
        <w:rPr>
          <w:rFonts w:ascii="Arial" w:eastAsia="Arial" w:hAnsi="Arial" w:cs="Arial"/>
          <w:b/>
          <w:sz w:val="20"/>
          <w:szCs w:val="20"/>
        </w:rPr>
        <w:t xml:space="preserve"> proběhl </w:t>
      </w:r>
      <w:r w:rsidR="00A716DC">
        <w:rPr>
          <w:rFonts w:ascii="Arial" w:eastAsia="Arial" w:hAnsi="Arial" w:cs="Arial"/>
          <w:b/>
          <w:sz w:val="20"/>
          <w:szCs w:val="20"/>
        </w:rPr>
        <w:t xml:space="preserve">dne </w:t>
      </w:r>
      <w:r w:rsidR="00985281">
        <w:rPr>
          <w:rFonts w:ascii="Arial" w:eastAsia="Arial" w:hAnsi="Arial" w:cs="Arial"/>
          <w:b/>
          <w:sz w:val="20"/>
          <w:szCs w:val="20"/>
        </w:rPr>
        <w:t>1. března 2019 v UCEEB Buštěhrad</w:t>
      </w:r>
      <w:r w:rsidR="00A716D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716DC">
        <w:rPr>
          <w:rFonts w:ascii="Arial" w:eastAsia="Arial" w:hAnsi="Arial" w:cs="Arial"/>
          <w:b/>
          <w:sz w:val="20"/>
          <w:szCs w:val="20"/>
        </w:rPr>
        <w:t>Diskuze u kulatého stolu nabídla</w:t>
      </w:r>
      <w:r>
        <w:rPr>
          <w:rFonts w:ascii="Arial" w:eastAsia="Arial" w:hAnsi="Arial" w:cs="Arial"/>
          <w:b/>
          <w:sz w:val="20"/>
          <w:szCs w:val="20"/>
        </w:rPr>
        <w:t xml:space="preserve"> očekávan</w:t>
      </w:r>
      <w:r w:rsidR="00A716DC">
        <w:rPr>
          <w:rFonts w:ascii="Arial" w:eastAsia="Arial" w:hAnsi="Arial" w:cs="Arial"/>
          <w:b/>
          <w:sz w:val="20"/>
          <w:szCs w:val="20"/>
        </w:rPr>
        <w:t>é</w:t>
      </w:r>
      <w:r>
        <w:rPr>
          <w:rFonts w:ascii="Arial" w:eastAsia="Arial" w:hAnsi="Arial" w:cs="Arial"/>
          <w:b/>
          <w:sz w:val="20"/>
          <w:szCs w:val="20"/>
        </w:rPr>
        <w:t xml:space="preserve"> trend</w:t>
      </w:r>
      <w:r w:rsidR="00A716DC">
        <w:rPr>
          <w:rFonts w:ascii="Arial" w:eastAsia="Arial" w:hAnsi="Arial" w:cs="Arial"/>
          <w:b/>
          <w:sz w:val="20"/>
          <w:szCs w:val="20"/>
        </w:rPr>
        <w:t>y</w:t>
      </w:r>
      <w:r>
        <w:rPr>
          <w:rFonts w:ascii="Arial" w:eastAsia="Arial" w:hAnsi="Arial" w:cs="Arial"/>
          <w:b/>
          <w:sz w:val="20"/>
          <w:szCs w:val="20"/>
        </w:rPr>
        <w:t xml:space="preserve"> v oblasti energeticky šetrných budov i nástupu chytrých řešení, která mohou zvýšit komfort uživatelů. Právě v budovách se dnes spotřebuje největší část energie v EU, až 40 % z celkové konečné spotřeby energie v Evropě. Do debaty se zapojili zástupci z řad Ministerstva životního prostředí, Šance pro budovy, Svazu moderní energetiky, Národního centra energetických úspor, UCEEB ČVUT,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Buildsys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ČEZ ECSO a JRD Development. Účastníci kulatého stolu se shodli, že stále větší klíčovou roli bude hrát v dekarbonizaci evropské ekonomiky sektor stavebnictví, bez kterého se potřebné snížení emisí neobejde. </w:t>
      </w:r>
    </w:p>
    <w:p w:rsidR="00E1066F" w:rsidRDefault="006E57AC" w:rsidP="00C81647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Pavel </w:t>
      </w:r>
      <w:proofErr w:type="spellStart"/>
      <w:r>
        <w:rPr>
          <w:rFonts w:ascii="Arial" w:eastAsia="Arial" w:hAnsi="Arial" w:cs="Arial"/>
          <w:sz w:val="20"/>
          <w:szCs w:val="20"/>
        </w:rPr>
        <w:t>Zámyslický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Ministerstva životního prostředí otevřel diskusní setkání shrnutím evropské strategie</w:t>
      </w:r>
      <w:r w:rsidR="00567AB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 oblasti klimatické politiky do roku 2050. </w:t>
      </w:r>
      <w:r>
        <w:rPr>
          <w:rFonts w:ascii="Arial" w:eastAsia="Arial" w:hAnsi="Arial" w:cs="Arial"/>
          <w:i/>
          <w:sz w:val="20"/>
          <w:szCs w:val="20"/>
        </w:rPr>
        <w:t xml:space="preserve">„Evropská komise navrhuje z rozpočtu EU vyčlenit 25 % na klima (v období 2021-2027),“ </w:t>
      </w:r>
      <w:r>
        <w:rPr>
          <w:rFonts w:ascii="Arial" w:eastAsia="Arial" w:hAnsi="Arial" w:cs="Arial"/>
          <w:sz w:val="20"/>
          <w:szCs w:val="20"/>
        </w:rPr>
        <w:t xml:space="preserve">uvedl Pavel </w:t>
      </w:r>
      <w:proofErr w:type="spellStart"/>
      <w:r>
        <w:rPr>
          <w:rFonts w:ascii="Arial" w:eastAsia="Arial" w:hAnsi="Arial" w:cs="Arial"/>
          <w:sz w:val="20"/>
          <w:szCs w:val="20"/>
        </w:rPr>
        <w:t>Zámyslický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Také upozornil, že je zapotřebí zvýšit tempo renovací budov a vytápět je pomocí obnovitelných zdrojů. </w:t>
      </w:r>
      <w:r>
        <w:rPr>
          <w:rFonts w:ascii="Arial" w:eastAsia="Arial" w:hAnsi="Arial" w:cs="Arial"/>
          <w:i/>
          <w:sz w:val="20"/>
          <w:szCs w:val="20"/>
        </w:rPr>
        <w:t xml:space="preserve">„Aktuálně splňuje požadavky energeticky úsporných budov na rok 2050 pouhých 10 až 25 %,“ </w:t>
      </w:r>
      <w:r>
        <w:rPr>
          <w:rFonts w:ascii="Arial" w:eastAsia="Arial" w:hAnsi="Arial" w:cs="Arial"/>
          <w:sz w:val="20"/>
          <w:szCs w:val="20"/>
        </w:rPr>
        <w:t xml:space="preserve">doplnil Pavel </w:t>
      </w:r>
      <w:proofErr w:type="spellStart"/>
      <w:r>
        <w:rPr>
          <w:rFonts w:ascii="Arial" w:eastAsia="Arial" w:hAnsi="Arial" w:cs="Arial"/>
          <w:sz w:val="20"/>
          <w:szCs w:val="20"/>
        </w:rPr>
        <w:t>Zámyslický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E1066F" w:rsidRPr="00C81647" w:rsidRDefault="00E1066F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1066F" w:rsidRDefault="006E57AC" w:rsidP="00C81647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debaty se zapojil i Tomáš </w:t>
      </w:r>
      <w:proofErr w:type="spellStart"/>
      <w:r>
        <w:rPr>
          <w:rFonts w:ascii="Arial" w:eastAsia="Arial" w:hAnsi="Arial" w:cs="Arial"/>
          <w:sz w:val="20"/>
          <w:szCs w:val="20"/>
        </w:rPr>
        <w:t>Trubačík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Šance pro budovy, který představil scénáře renovace budov ve vztahu k financím. </w:t>
      </w:r>
      <w:r>
        <w:rPr>
          <w:rFonts w:ascii="Arial" w:eastAsia="Arial" w:hAnsi="Arial" w:cs="Arial"/>
          <w:i/>
          <w:sz w:val="20"/>
          <w:szCs w:val="20"/>
        </w:rPr>
        <w:t xml:space="preserve">„Evropská komise očekává, že 30 % z ESIF (Evropské strukturální a investiční fondy) by mělo jít na investiční prioritu č.2 zelenější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bezuhlíková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Evropa. Dalším důležitým zdrojem je EU ETS (EU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Emissions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Trading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Systém</w:t>
      </w:r>
      <w:r>
        <w:rPr>
          <w:rFonts w:ascii="Arial" w:eastAsia="Arial" w:hAnsi="Arial" w:cs="Arial"/>
          <w:sz w:val="20"/>
          <w:szCs w:val="20"/>
        </w:rPr>
        <w:t xml:space="preserve">),“ uvedl Tomáš </w:t>
      </w:r>
      <w:proofErr w:type="spellStart"/>
      <w:r>
        <w:rPr>
          <w:rFonts w:ascii="Arial" w:eastAsia="Arial" w:hAnsi="Arial" w:cs="Arial"/>
          <w:sz w:val="20"/>
          <w:szCs w:val="20"/>
        </w:rPr>
        <w:t>Trubačík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E1066F" w:rsidRDefault="00E1066F" w:rsidP="00C81647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:rsidR="00E1066F" w:rsidRDefault="006E57AC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Před dvěma lety byla iniciována metodika Ministerstva průmyslu a obchodu (MPO) postavená na design-and-buildu, aby se soutěžilo na cenu nákladů v životním prostředí. Tato metodika se doporučuje jako cesta ke kvalitním komplexním renovacím. Na tento fakt upozornil Ivo </w:t>
      </w:r>
      <w:proofErr w:type="spellStart"/>
      <w:r>
        <w:rPr>
          <w:rFonts w:ascii="Arial" w:eastAsia="Arial" w:hAnsi="Arial" w:cs="Arial"/>
          <w:sz w:val="20"/>
          <w:szCs w:val="20"/>
        </w:rPr>
        <w:t>Slavotínek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předseda Asociace poskytovatelů energetických služeb. </w:t>
      </w:r>
    </w:p>
    <w:p w:rsidR="00E1066F" w:rsidRDefault="00E1066F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1066F" w:rsidRDefault="006E57AC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Marie </w:t>
      </w:r>
      <w:proofErr w:type="spellStart"/>
      <w:r>
        <w:rPr>
          <w:rFonts w:ascii="Arial" w:eastAsia="Arial" w:hAnsi="Arial" w:cs="Arial"/>
          <w:sz w:val="20"/>
          <w:szCs w:val="20"/>
        </w:rPr>
        <w:t>Zez</w:t>
      </w:r>
      <w:r w:rsidR="00567AB7"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z w:val="20"/>
          <w:szCs w:val="20"/>
        </w:rPr>
        <w:t>lková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Národního centra energetických úspor uvedla, že v obcích stále nejsou úspory energií prioritou. </w:t>
      </w:r>
      <w:r>
        <w:rPr>
          <w:rFonts w:ascii="Arial" w:eastAsia="Arial" w:hAnsi="Arial" w:cs="Arial"/>
          <w:i/>
          <w:sz w:val="20"/>
          <w:szCs w:val="20"/>
        </w:rPr>
        <w:t>„Pro obce je důležitý stav komunikace, kanalizace, dětských hřišť apod. Nicméně právě úspory energií umožní vytvářet fondy na opravy ostatního majetku</w:t>
      </w:r>
      <w:r>
        <w:rPr>
          <w:rFonts w:ascii="Arial" w:eastAsia="Arial" w:hAnsi="Arial" w:cs="Arial"/>
          <w:sz w:val="20"/>
          <w:szCs w:val="20"/>
        </w:rPr>
        <w:t xml:space="preserve">,“ uvedla Marie Zezulková. Přesto věří, že obce mohou být do budoucna klíčovým hráčem. Stát by měl podle </w:t>
      </w:r>
      <w:proofErr w:type="spellStart"/>
      <w:r>
        <w:rPr>
          <w:rFonts w:ascii="Arial" w:eastAsia="Arial" w:hAnsi="Arial" w:cs="Arial"/>
          <w:sz w:val="20"/>
          <w:szCs w:val="20"/>
        </w:rPr>
        <w:t>Zezůlkové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podpořit vznik pozic energetických manažerů ve městech a obcích. Svůj pohled podpořila uvedením úspěšné praxe v Litoměřicích.</w:t>
      </w:r>
    </w:p>
    <w:p w:rsidR="00E1066F" w:rsidRDefault="00E1066F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1066F" w:rsidRDefault="006E57AC" w:rsidP="00C81647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Společnost JRD Development se věnovala tématu inteligentních budov. </w:t>
      </w:r>
      <w:r>
        <w:rPr>
          <w:rFonts w:ascii="Arial" w:eastAsia="Arial" w:hAnsi="Arial" w:cs="Arial"/>
          <w:i/>
          <w:sz w:val="20"/>
          <w:szCs w:val="20"/>
        </w:rPr>
        <w:t xml:space="preserve">Dnes se používá vzduchotechnika s rekuperací, žaluzie, topení, fotovoltaika a tepelná čerpadla. Efektivní jsou například i předokenní žaluzie, které brání přehřívání a nemusí se tolik větrat,“ </w:t>
      </w:r>
      <w:r>
        <w:rPr>
          <w:rFonts w:ascii="Arial" w:eastAsia="Arial" w:hAnsi="Arial" w:cs="Arial"/>
          <w:sz w:val="20"/>
          <w:szCs w:val="20"/>
        </w:rPr>
        <w:t>uvedl Petr Valeš ze společnosti JRD Development. Společnost bere v potaz i vnitřní materiály bez těkavých látek a kvalitní úsporné a zdravé osvětlení.  U inteligentních budov je zapotřebí myslet i na automatizaci, které se věnoval Michal Petřík z </w:t>
      </w:r>
      <w:proofErr w:type="spellStart"/>
      <w:r>
        <w:rPr>
          <w:rFonts w:ascii="Arial" w:eastAsia="Arial" w:hAnsi="Arial" w:cs="Arial"/>
          <w:sz w:val="20"/>
          <w:szCs w:val="20"/>
        </w:rPr>
        <w:t>Buildsys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 xml:space="preserve">„Automatizace dnes činí přibližně 3 % investičních nákladů a výrazně ovlivňuje spotřebu energií i komfort užívání budovy. Žaluzie musí umět komunikovat s vytápěním/chlazením a </w:t>
      </w: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vnitřním osvětlením. Je důležité to mít sjednocené na jednu platformu řízení, nikoli každý systém zvlášť bez vzájemné komunikace,“ </w:t>
      </w:r>
      <w:r>
        <w:rPr>
          <w:rFonts w:ascii="Arial" w:eastAsia="Arial" w:hAnsi="Arial" w:cs="Arial"/>
          <w:sz w:val="20"/>
          <w:szCs w:val="20"/>
        </w:rPr>
        <w:t>uvedl Michal Petřík.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E1066F" w:rsidRPr="00C81647" w:rsidRDefault="00E1066F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1066F" w:rsidRDefault="006E57AC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Martin Sedlák ze Svazu moderní energetiky se věnoval tématu dodávek čisté energie do obytných budov prostřednictvím aktivních spotřebitelů energie. K těm otevírá cestu evropský balíček Čistá energie pro všechny Evropany. EU předpokládá, že rozvoj obnovitelných zdrojů nemá být v příštím desetiletí pouze doménou velkých firem, ale začnou z něj také více těžit domácnosti, firmy a města. Ty pak budou moci vyrábět, akumulovat a prodávat elektřinu bez bariér. </w:t>
      </w:r>
      <w:r w:rsidRPr="00567AB7">
        <w:rPr>
          <w:rFonts w:ascii="Arial" w:eastAsia="Arial" w:hAnsi="Arial" w:cs="Arial"/>
          <w:i/>
          <w:sz w:val="20"/>
          <w:szCs w:val="20"/>
        </w:rPr>
        <w:t>“Například v Německu už dnes mají 100 tisíc instalací hybridních fotovoltaických elektráren na domech a do roku 2020 chtějí počet zdvojnásobit. Stabilní rozvoj úspěšného programu Nová zelená úsporám pomůže také rozv</w:t>
      </w:r>
      <w:r w:rsidR="00567AB7">
        <w:rPr>
          <w:rFonts w:ascii="Arial" w:eastAsia="Arial" w:hAnsi="Arial" w:cs="Arial"/>
          <w:i/>
          <w:sz w:val="20"/>
          <w:szCs w:val="20"/>
        </w:rPr>
        <w:t>o</w:t>
      </w:r>
      <w:r w:rsidRPr="00567AB7">
        <w:rPr>
          <w:rFonts w:ascii="Arial" w:eastAsia="Arial" w:hAnsi="Arial" w:cs="Arial"/>
          <w:i/>
          <w:sz w:val="20"/>
          <w:szCs w:val="20"/>
        </w:rPr>
        <w:t>ji aktivních spotřebitelů energie v Česku. Podle našich scénářů může kombinace poklesu cen solárních technologií a zachování podpory dostat roční přírůstek nových solárních elektráren do pěti let až na 20 tisíc projektů,”</w:t>
      </w:r>
      <w:r>
        <w:rPr>
          <w:rFonts w:ascii="Arial" w:eastAsia="Arial" w:hAnsi="Arial" w:cs="Arial"/>
          <w:sz w:val="20"/>
          <w:szCs w:val="20"/>
        </w:rPr>
        <w:t xml:space="preserve"> představil výhledy Martin Sedlák.</w:t>
      </w:r>
    </w:p>
    <w:p w:rsidR="00E1066F" w:rsidRDefault="00E1066F" w:rsidP="00C8164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1066F" w:rsidRDefault="006E57AC" w:rsidP="00C81647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Změny technologií jsou velmi rychlé, proto je třeba sledovat trendy a umět si říct, co chceme. Jakub </w:t>
      </w:r>
      <w:proofErr w:type="spellStart"/>
      <w:r>
        <w:rPr>
          <w:rFonts w:ascii="Arial" w:eastAsia="Arial" w:hAnsi="Arial" w:cs="Arial"/>
          <w:sz w:val="20"/>
          <w:szCs w:val="20"/>
        </w:rPr>
        <w:t>Maščuch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 UCEEB ČVUT uvedl, že: </w:t>
      </w:r>
      <w:r>
        <w:rPr>
          <w:rFonts w:ascii="Arial" w:eastAsia="Arial" w:hAnsi="Arial" w:cs="Arial"/>
          <w:i/>
          <w:sz w:val="20"/>
          <w:szCs w:val="20"/>
        </w:rPr>
        <w:t>„Inovace jsou investičně náročnější, ale z pohledu životního cyklu výhodné. Důležité je projektovat budovy tak, aby budovy v maximální možné míře zajišťovaly požadavky uživatele pasivními prvky.“</w:t>
      </w:r>
    </w:p>
    <w:p w:rsidR="00E1066F" w:rsidRDefault="00E1066F" w:rsidP="00C8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1066F" w:rsidRDefault="00E1066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1" w:name="_GoBack"/>
      <w:r w:rsidRPr="00A716DC">
        <w:rPr>
          <w:rFonts w:ascii="Arial" w:eastAsia="Arial" w:hAnsi="Arial" w:cs="Arial"/>
          <w:b/>
          <w:i/>
          <w:color w:val="000000"/>
          <w:sz w:val="20"/>
          <w:szCs w:val="20"/>
        </w:rPr>
        <w:t>Svaz moderní energetiky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bookmarkEnd w:id="1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sdružuje nejvýznamnější oborové asociace moderní energetiky i klíčová výzkumná univerzitní centra. Díky průřezovému zastoupení expertů umí Svaz nabídnout ucelený pohled na možnosti rozvíjejícího se oboru nové nízkouhlíkové energetiky. Svaz má za cíl proaktivně vstupovat do české i evropské debaty o možnostech proměny energetiky. Zároveň přináší klíčové impulsy, které zajistí přední pozici ČR v oblasti vývoje a výroby progresivních technologií. Právě k příležitostem, které se v oblasti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digitalizací. Více informací na </w:t>
      </w:r>
      <w:hyperlink r:id="rId6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:rsidR="00985281" w:rsidRDefault="0098528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A716DC">
        <w:rPr>
          <w:rFonts w:ascii="Arial" w:eastAsia="Arial" w:hAnsi="Arial" w:cs="Arial"/>
          <w:b/>
          <w:i/>
          <w:color w:val="000000"/>
          <w:sz w:val="20"/>
          <w:szCs w:val="20"/>
        </w:rPr>
        <w:t>Kancelář Evropského parlamentu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se nachází v</w:t>
      </w:r>
      <w:r w:rsidRPr="00985281">
        <w:rPr>
          <w:rFonts w:ascii="Arial" w:eastAsia="Arial" w:hAnsi="Arial" w:cs="Arial"/>
          <w:i/>
          <w:color w:val="000000"/>
          <w:sz w:val="20"/>
          <w:szCs w:val="20"/>
        </w:rPr>
        <w:t xml:space="preserve"> každém členském státě EU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Pr="009852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</w:t>
      </w:r>
      <w:r w:rsidRPr="00985281">
        <w:rPr>
          <w:rFonts w:ascii="Arial" w:eastAsia="Arial" w:hAnsi="Arial" w:cs="Arial"/>
          <w:i/>
          <w:color w:val="000000"/>
          <w:sz w:val="20"/>
          <w:szCs w:val="20"/>
        </w:rPr>
        <w:t>nformuje o politice EU, zejména o složení, strukturách, aktivitách a rozhodnutích Evropského parlamentu. Zároveň udržuje kontakty s novináři a zástupci politického a společenského života vč</w:t>
      </w:r>
      <w:r>
        <w:rPr>
          <w:rFonts w:ascii="Arial" w:eastAsia="Arial" w:hAnsi="Arial" w:cs="Arial"/>
          <w:i/>
          <w:color w:val="000000"/>
          <w:sz w:val="20"/>
          <w:szCs w:val="20"/>
        </w:rPr>
        <w:t>etně poslanců České republiky v </w:t>
      </w:r>
      <w:r w:rsidRPr="00985281">
        <w:rPr>
          <w:rFonts w:ascii="Arial" w:eastAsia="Arial" w:hAnsi="Arial" w:cs="Arial"/>
          <w:i/>
          <w:color w:val="000000"/>
          <w:sz w:val="20"/>
          <w:szCs w:val="20"/>
        </w:rPr>
        <w:t>Evropském parlamentu, stejně jako s vládními institucemi a státní správou. Zprostředkovává odpovědi na dotazy o Evropském parlamentu, nebo na tyto dotazy odpovídá sama v rámci svých aktivit. Dále vydává informační materiály určené široké veřejnosti.</w:t>
      </w: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:rsidR="00E1066F" w:rsidRDefault="00E10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Austová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Pikardová</w:t>
      </w: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 Svazu moderní energetiky</w:t>
      </w: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:rsidR="00E1066F" w:rsidRDefault="00814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7">
        <w:r w:rsidR="006E57A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 w:rsidR="006E57A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1066F" w:rsidRDefault="00E10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:rsidR="00E1066F" w:rsidRDefault="006E5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:rsidR="00E1066F" w:rsidRDefault="00814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8">
        <w:r w:rsidR="006E57A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 w:rsidR="006E57A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1066F" w:rsidRDefault="00E10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66F" w:rsidRDefault="00B05499" w:rsidP="00B05499">
      <w:pPr>
        <w:spacing w:after="0" w:line="240" w:lineRule="auto"/>
      </w:pPr>
      <w:r>
        <w:lastRenderedPageBreak/>
        <w:t xml:space="preserve">Irena </w:t>
      </w:r>
      <w:proofErr w:type="spellStart"/>
      <w:r>
        <w:t>Kubášková</w:t>
      </w:r>
      <w:proofErr w:type="spellEnd"/>
    </w:p>
    <w:p w:rsidR="00B05499" w:rsidRDefault="00B05499" w:rsidP="00B05499">
      <w:pPr>
        <w:spacing w:after="0" w:line="240" w:lineRule="auto"/>
      </w:pPr>
      <w:r>
        <w:t>Tisková atašé Kanceláře Evropského parlamentu v ČR</w:t>
      </w:r>
    </w:p>
    <w:p w:rsidR="00B05499" w:rsidRDefault="00B05499" w:rsidP="00B05499">
      <w:pPr>
        <w:spacing w:after="0" w:line="240" w:lineRule="auto"/>
      </w:pPr>
      <w:r>
        <w:t>+ 420 775 511 125</w:t>
      </w:r>
    </w:p>
    <w:p w:rsidR="00B05499" w:rsidRDefault="00814A75" w:rsidP="00B05499">
      <w:pPr>
        <w:spacing w:after="0" w:line="240" w:lineRule="auto"/>
      </w:pPr>
      <w:hyperlink r:id="rId9" w:history="1">
        <w:r w:rsidR="00B05499" w:rsidRPr="00713370">
          <w:rPr>
            <w:rStyle w:val="Hypertextovodkaz"/>
          </w:rPr>
          <w:t>irena.kubaskova@ep.europa.eu</w:t>
        </w:r>
      </w:hyperlink>
      <w:r w:rsidR="00B05499">
        <w:t xml:space="preserve"> </w:t>
      </w:r>
    </w:p>
    <w:sectPr w:rsidR="00B05499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75" w:rsidRDefault="00814A75">
      <w:pPr>
        <w:spacing w:after="0" w:line="240" w:lineRule="auto"/>
      </w:pPr>
      <w:r>
        <w:separator/>
      </w:r>
    </w:p>
  </w:endnote>
  <w:endnote w:type="continuationSeparator" w:id="0">
    <w:p w:rsidR="00814A75" w:rsidRDefault="008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75" w:rsidRDefault="00814A75">
      <w:pPr>
        <w:spacing w:after="0" w:line="240" w:lineRule="auto"/>
      </w:pPr>
      <w:r>
        <w:separator/>
      </w:r>
    </w:p>
  </w:footnote>
  <w:footnote w:type="continuationSeparator" w:id="0">
    <w:p w:rsidR="00814A75" w:rsidRDefault="0081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6F" w:rsidRDefault="00A716DC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1692000" cy="673200"/>
          <wp:effectExtent l="0" t="0" r="381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000" cy="67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066F" w:rsidRDefault="00A716DC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734820" cy="687070"/>
          <wp:effectExtent l="0" t="0" r="0" b="0"/>
          <wp:wrapSquare wrapText="bothSides"/>
          <wp:docPr id="3" name="Picture 3" descr="C:\Users\ikubaskova\AppData\Local\Microsoft\Windows\INetCache\Content.Word\EP_Signature_short RGB_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ubaskova\AppData\Local\Microsoft\Windows\INetCache\Content.Word\EP_Signature_short RGB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066F" w:rsidRDefault="006E57AC" w:rsidP="00985281">
    <w:pPr>
      <w:tabs>
        <w:tab w:val="left" w:pos="1360"/>
      </w:tabs>
      <w:spacing w:after="120"/>
      <w:jc w:val="right"/>
      <w:rPr>
        <w:b/>
      </w:rPr>
    </w:pPr>
    <w:r>
      <w:rPr>
        <w:b/>
      </w:rPr>
      <w:t>Tisková zpráva</w:t>
    </w:r>
  </w:p>
  <w:p w:rsidR="00E1066F" w:rsidRDefault="006E57AC" w:rsidP="00985281">
    <w:pPr>
      <w:tabs>
        <w:tab w:val="left" w:pos="1360"/>
      </w:tabs>
      <w:spacing w:after="240"/>
      <w:jc w:val="right"/>
      <w:rPr>
        <w:sz w:val="18"/>
        <w:szCs w:val="18"/>
      </w:rPr>
    </w:pPr>
    <w:r>
      <w:rPr>
        <w:sz w:val="18"/>
        <w:szCs w:val="18"/>
      </w:rPr>
      <w:t>Svaz moderní energetiky, z. s.</w:t>
    </w:r>
  </w:p>
  <w:p w:rsidR="00E1066F" w:rsidRDefault="006E57AC">
    <w:pPr>
      <w:tabs>
        <w:tab w:val="left" w:pos="1360"/>
      </w:tabs>
      <w:rPr>
        <w:sz w:val="18"/>
        <w:szCs w:val="18"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-819149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66F" w:rsidRDefault="00E10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6F"/>
    <w:rsid w:val="0031596D"/>
    <w:rsid w:val="003338CE"/>
    <w:rsid w:val="00567AB7"/>
    <w:rsid w:val="006E57AC"/>
    <w:rsid w:val="00814A75"/>
    <w:rsid w:val="00985281"/>
    <w:rsid w:val="00A716DC"/>
    <w:rsid w:val="00B05499"/>
    <w:rsid w:val="00C81647"/>
    <w:rsid w:val="00E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8FFF"/>
  <w15:docId w15:val="{F2A7F97B-78EE-4F6A-9ED0-45A5021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64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281"/>
  </w:style>
  <w:style w:type="paragraph" w:styleId="Zpat">
    <w:name w:val="footer"/>
    <w:basedOn w:val="Normln"/>
    <w:link w:val="ZpatChar"/>
    <w:uiPriority w:val="99"/>
    <w:unhideWhenUsed/>
    <w:rsid w:val="0098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281"/>
  </w:style>
  <w:style w:type="character" w:styleId="Hypertextovodkaz">
    <w:name w:val="Hyperlink"/>
    <w:basedOn w:val="Standardnpsmoodstavce"/>
    <w:uiPriority w:val="99"/>
    <w:unhideWhenUsed/>
    <w:rsid w:val="00B0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edlak@modernienergeti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pikardova@modernienergetik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rnienergetik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rena.kubaskova@ep.europ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978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2019-03-05T10:00:00Z</dcterms:created>
  <dcterms:modified xsi:type="dcterms:W3CDTF">2019-03-05T10:57:00Z</dcterms:modified>
</cp:coreProperties>
</file>