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IEA: Spotřeba elektřiny dále poroste, do roku 2030 pokryjí polovinu výroby nízkouhlíkové zdroje. Česko musí zrychlit přípravu nových obnovitelných zdrojů, aby neztratilo dech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/>
      </w:pPr>
      <w:r w:rsidDel="00000000" w:rsidR="00000000" w:rsidRPr="00000000">
        <w:rPr>
          <w:rtl w:val="0"/>
        </w:rPr>
        <w:t xml:space="preserve">pátek 6. února 2026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Mezinárodní energetická agentura (IEA) ve své nejnovější analýze „</w:t>
      </w:r>
      <w:hyperlink r:id="rId7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Electricity 2026</w:t>
        </w:r>
      </w:hyperlink>
      <w:r w:rsidDel="00000000" w:rsidR="00000000" w:rsidRPr="00000000">
        <w:rPr>
          <w:b w:val="1"/>
          <w:bCs w:val="1"/>
          <w:rtl w:val="0"/>
        </w:rPr>
        <w:t xml:space="preserve">“ potvrzuje zásadní transformaci globální energetiky. Do roku 2030 bude polovina světové elektřiny pocházet z nízkouhlíkových zdrojů v čele s obnovitelnými zdroji (OZE). Vzhledem k očekávanému růstu spotřeby, poháněnému digitalizací, elektromobilitou a tepelnými čerpadly, by měla také ČR pokračovat v akceleraci výstavby větrných a solárních parků i flexibilních plynových zdrojů, aby zajistila svou energetickou bezpečnost a konkurenceschopnost.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Podle analýzy IEA se očekává, že globální poptávka po elektřině poroste do roku 2030 průměrným tempem 3,4 % ročně a obnovitelné zdroje budou růst o 1000 TWh ročně. Klíčovým milníkem bude rok 2030, kdy podíl obnovitelných zdrojů a jádra v globálním mixu dosáhne 50 %. V Evropské unii bude tento trend ještě výraznější – po útlumu v krizových letech 2022–2023 se očekává návrat k růstu spotřeby (v průměru o 2,3 % ročně), tažený rozvojem datových center, umělé inteligence a masivní elektrifikací vytápění (tepelná čerpadla) a dopravy (EV).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Do roku 2030 se také podle IEA stane hlavním zdrojem elektřiny větrná energie, kdy předstihne i výrobu z jádra. Podíl větru na výrobě elektřiny v EU vzroste ze 17 % v roce 2025 na 25 % v roce 2030.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Česko v bodě zlomu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Analýza IEA jasně ukazuje, že fosilní zdroje, zejména uhlí, jsou na ústupu (v Evropě se očekává pokles výroby z uhlí o 12,3 % ročně). Pokud Česko včas nenahradí dosluhující uhelné bloky novými zdroji, hrozí mu podle dřívějších studií Svazu moderní energetiky, že cena silové elektřiny bude výrazně vyšší než v sousedních zemích.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„Zpráva IEA je jasným vzkazem: elektřina je základem moderní ekonomiky a její spotřeba nezadržitelně poroste. Pokud chceme udržet krok se světem, musíme do roku 2030 zásadně posílit naše kapacity v obnovitelných zdrojích a flexibilním plynu,“ komentuje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Martin Sedlák, programový ředitel Svazu moderní energetiky</w:t>
      </w:r>
      <w:r w:rsidDel="00000000" w:rsidR="00000000" w:rsidRPr="00000000">
        <w:rPr>
          <w:rtl w:val="0"/>
        </w:rPr>
        <w:t xml:space="preserve"> a dodává: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„Data IEA potvrzují, že nástup čistých energií je podložený tvrdou ekonomickou realitou. Do roku 2030 budou čisté zdroje spolu s plynem tvořit páteř globální energetiky. Pro Česko to znamená, že každý megawatt z větru nebo slunce, který dnes nepřipravíme, budeme za pár let draze dovážet z okolních zemí, které OZE rozvíjejí rychleji, což je už například i Polsko. Moderní energetika nám nabízí cestu k nižším cenám, energetické bezpečnosti i tisícům nových pracovních míst.“</w:t>
      </w:r>
    </w:p>
    <w:p w:rsidR="00000000" w:rsidDel="00000000" w:rsidP="00000000" w:rsidRDefault="00000000" w:rsidRPr="00000000" w14:paraId="00000012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Další klíčové údaje z analýzy IEA, které ovlivňují také situaci ČR: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 Evropě výroba z uhlí do roku 2030 klesne na méně než polovinu současné úrovně.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Zemní plyn bude hrát klíčovou roli při vykrývání špiček a zajištění flexibility sítě, zatímco podíl OZE bude dominovat.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Boom elektromobility a tepla: V EU vzrostly registrace elektromobilů o 30 % (2025 vs. 2024), což zvyšuje nároky na distribuční sítě.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Průměrná emisní intenzita výroby elektřiny celosvětově klesá, což bude klíčové pro české exportéry podléhající uhlíkovému clu (CBAM).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 Svazu moderní energetiky</w:t>
      </w:r>
    </w:p>
    <w:p w:rsidR="00000000" w:rsidDel="00000000" w:rsidP="00000000" w:rsidRDefault="00000000" w:rsidRPr="00000000" w14:paraId="00000020">
      <w:pPr>
        <w:spacing w:after="280" w:line="276" w:lineRule="auto"/>
        <w:ind w:right="6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Svaz moderní energetiky sdružuje nejvýznamnější oborové asociace moderní energetiky i klíčová výzkumná univerzitní centra. Díky průřezovému zastoupení expertů umí Svaz nabídnout ucelený pohled na možnosti rozvíjejícího se oboru nové nízkouhlíkové energetiky. Svaz má za cíl proaktivně vstupovat do české i evropské debaty o možnostech proměny energetiky. Zároveň přináší klíčové impulsy, které zajistí přední pozici ČR v oblasti vývoje a výroby progresivních technologií. Právě k příležitostem, jež se v oblasti přechodu na nízkouhlíkovou energetiku otevírají, chce v Česku vést širokou diskuzi zaměřenou na prosazení opatření, která podpoří samovýrobu elektřiny, rozvoj akumulace energie, posílí možnosti společné výroby elektřiny a tepla, implementaci chytrých sítí, elektromobility nebo nových prvků přicházejících s digitalizací v rámci energetického trhu. Více informací na</w:t>
      </w:r>
      <w:hyperlink r:id="rId8">
        <w:r w:rsidDel="00000000" w:rsidR="00000000" w:rsidRPr="00000000">
          <w:rPr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0000ff"/>
            <w:u w:val="single"/>
            <w:rtl w:val="0"/>
          </w:rPr>
          <w:t xml:space="preserve">www.modernienergetika.cz</w:t>
        </w:r>
      </w:hyperlink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rPr/>
      </w:pPr>
      <w:bookmarkStart w:colFirst="0" w:colLast="0" w:name="_heading=h.2mue7uwx1w2z" w:id="0"/>
      <w:bookmarkEnd w:id="0"/>
      <w:r w:rsidDel="00000000" w:rsidR="00000000" w:rsidRPr="00000000">
        <w:rPr>
          <w:rtl w:val="0"/>
        </w:rPr>
        <w:t xml:space="preserve">Kontakt</w:t>
      </w:r>
    </w:p>
    <w:p w:rsidR="00000000" w:rsidDel="00000000" w:rsidP="00000000" w:rsidRDefault="00000000" w:rsidRPr="00000000" w14:paraId="00000022">
      <w:pPr>
        <w:spacing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Aleš Miklík, Senior account manager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Obnovitelně PRO</w:t>
      </w:r>
    </w:p>
    <w:p w:rsidR="00000000" w:rsidDel="00000000" w:rsidP="00000000" w:rsidRDefault="00000000" w:rsidRPr="00000000" w14:paraId="00000024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ales.miklik@obnovitelne.pro</w:t>
        </w:r>
      </w:hyperlink>
      <w:r w:rsidDel="00000000" w:rsidR="00000000" w:rsidRPr="00000000">
        <w:rPr>
          <w:rtl w:val="0"/>
        </w:rPr>
        <w:t xml:space="preserve">, +420 604 131 131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b w:val="1"/>
          <w:bCs w:val="1"/>
          <w:rtl w:val="0"/>
        </w:rPr>
        <w:t xml:space="preserve">Martin Sedlák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programový ředitel Svazu moderní energetiky</w:t>
      </w:r>
    </w:p>
    <w:p w:rsidR="00000000" w:rsidDel="00000000" w:rsidP="00000000" w:rsidRDefault="00000000" w:rsidRPr="00000000" w14:paraId="00000028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martin.sedlak@modernienergetika.cz</w:t>
        </w:r>
      </w:hyperlink>
      <w:r w:rsidDel="00000000" w:rsidR="00000000" w:rsidRPr="00000000">
        <w:rPr>
          <w:rtl w:val="0"/>
        </w:rPr>
        <w:t xml:space="preserve">, +420 737 128 471 </w:t>
      </w:r>
    </w:p>
    <w:sectPr>
      <w:headerReference r:id="rId12" w:type="default"/>
      <w:pgSz w:h="16834" w:w="11909" w:orient="portrait"/>
      <w:pgMar w:bottom="1440" w:top="1842.5196850393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-952491</wp:posOffset>
          </wp:positionH>
          <wp:positionV relativeFrom="paragraph">
            <wp:posOffset>-428615</wp:posOffset>
          </wp:positionV>
          <wp:extent cx="2466975" cy="1398331"/>
          <wp:effectExtent b="0" l="0" r="0" t="0"/>
          <wp:wrapNone/>
          <wp:docPr descr="Obsah obrázku text, Písmo, Grafika, snímek obrazovky&#10;&#10;Popis byl vytvořen automaticky" id="10" name="image1.jpg"/>
          <a:graphic>
            <a:graphicData uri="http://schemas.openxmlformats.org/drawingml/2006/picture">
              <pic:pic>
                <pic:nvPicPr>
                  <pic:cNvPr descr="Obsah obrázku text, Písmo, Grafika, snímek obrazovky&#10;&#10;Popis byl vytvořen automaticky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66975" cy="1398331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martin.sedlak@modernienergetika.cz" TargetMode="External"/><Relationship Id="rId10" Type="http://schemas.openxmlformats.org/officeDocument/2006/relationships/hyperlink" Target="mailto:ales.miklik@obnovitelne.pro" TargetMode="External"/><Relationship Id="rId12" Type="http://schemas.openxmlformats.org/officeDocument/2006/relationships/header" Target="header1.xml"/><Relationship Id="rId9" Type="http://schemas.openxmlformats.org/officeDocument/2006/relationships/hyperlink" Target="http://www.modernienergetika.cz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iea.org/reports/electricity-2026" TargetMode="External"/><Relationship Id="rId8" Type="http://schemas.openxmlformats.org/officeDocument/2006/relationships/hyperlink" Target="http://www.modernienergetika.cz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T93lZb4xjZWwkyDRQaz+CaJMYw==">CgMxLjAyDmguMm11ZTd1d3gxdzJ6OABqKgoUc3VnZ2VzdC52b2U5cjlvb2ZrOXESEmtyaXN0eW5hIHBhdmVsa292YXIhMVlaRXNfMHA2dUMySEVRU19hendJS0lkbnNxOWRhcTdv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